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3E3B" w14:textId="77777777" w:rsidR="004E41BB" w:rsidRDefault="004E41BB" w:rsidP="004E41BB">
      <w:pPr>
        <w:rPr>
          <w:b/>
          <w:sz w:val="20"/>
          <w:szCs w:val="20"/>
        </w:rPr>
      </w:pPr>
      <w:r w:rsidRPr="00824829">
        <w:rPr>
          <w:b/>
          <w:sz w:val="20"/>
          <w:szCs w:val="20"/>
        </w:rPr>
        <w:t>5. CRONOGRAMA</w:t>
      </w:r>
    </w:p>
    <w:p w14:paraId="3EA09A7D" w14:textId="77777777" w:rsidR="00C02948" w:rsidRPr="00C02948" w:rsidRDefault="00C02948" w:rsidP="00C02948">
      <w:pPr>
        <w:shd w:val="clear" w:color="auto" w:fill="FFFFFF"/>
        <w:tabs>
          <w:tab w:val="left" w:pos="851"/>
        </w:tabs>
        <w:spacing w:before="240" w:after="240"/>
        <w:jc w:val="both"/>
        <w:rPr>
          <w:rFonts w:ascii="Times New Roman" w:hAnsi="Times New Roman" w:cs="Times New Roman"/>
          <w:i/>
          <w:sz w:val="24"/>
          <w:szCs w:val="24"/>
        </w:rPr>
      </w:pPr>
      <w:r w:rsidRPr="00C02948">
        <w:rPr>
          <w:rFonts w:ascii="Times New Roman" w:hAnsi="Times New Roman" w:cs="Times New Roman"/>
          <w:sz w:val="24"/>
          <w:szCs w:val="24"/>
        </w:rPr>
        <w:t xml:space="preserve">- </w:t>
      </w:r>
      <w:r w:rsidRPr="00C02948">
        <w:rPr>
          <w:rFonts w:ascii="Times New Roman" w:hAnsi="Times New Roman" w:cs="Times New Roman"/>
          <w:i/>
          <w:sz w:val="24"/>
          <w:szCs w:val="24"/>
        </w:rPr>
        <w:t xml:space="preserve">Adjunte un cronograma </w:t>
      </w:r>
    </w:p>
    <w:p w14:paraId="0312C9A6" w14:textId="6427C36E" w:rsidR="007E40D7" w:rsidRDefault="00C02948" w:rsidP="00C02948">
      <w:pPr>
        <w:shd w:val="clear" w:color="auto" w:fill="FFFFFF"/>
        <w:tabs>
          <w:tab w:val="left" w:pos="851"/>
        </w:tabs>
        <w:spacing w:after="240" w:line="240" w:lineRule="auto"/>
        <w:jc w:val="both"/>
        <w:rPr>
          <w:rFonts w:ascii="Times New Roman" w:hAnsi="Times New Roman" w:cs="Times New Roman"/>
          <w:i/>
          <w:sz w:val="24"/>
          <w:szCs w:val="24"/>
        </w:rPr>
      </w:pPr>
      <w:r w:rsidRPr="00C02948">
        <w:rPr>
          <w:rFonts w:ascii="Times New Roman" w:hAnsi="Times New Roman" w:cs="Times New Roman"/>
          <w:i/>
          <w:sz w:val="24"/>
          <w:szCs w:val="24"/>
        </w:rPr>
        <w:t>- Explique la planificación de la actuación, incluyendo la obtención de los recursos para la cofinanciación del equipamiento A la hora de planificar la actuación, se recomienda consultar con el equipo gerencial de su entidad, a fin de que le proporcione información sobre los plazos administrativos y demás requisitos que conlleva la adquisición del equipamiento solicitado, que puede requerir la elaboración de proyectos de obra, obtención de licencias, así como sobre los procedimientos de licitación, especialmente largos en el caso de los contratos de regulación armonizada.</w:t>
      </w:r>
    </w:p>
    <w:p w14:paraId="6481320B" w14:textId="77777777" w:rsidR="00C02948" w:rsidRPr="00C02948" w:rsidRDefault="00C02948" w:rsidP="00C02948">
      <w:pPr>
        <w:shd w:val="clear" w:color="auto" w:fill="FFFFFF"/>
        <w:tabs>
          <w:tab w:val="left" w:pos="851"/>
        </w:tabs>
        <w:spacing w:after="240" w:line="240" w:lineRule="auto"/>
        <w:jc w:val="both"/>
        <w:rPr>
          <w:rFonts w:ascii="Times New Roman" w:hAnsi="Times New Roman" w:cs="Times New Roman"/>
          <w:bCs/>
          <w:i/>
          <w:sz w:val="24"/>
          <w:szCs w:val="24"/>
        </w:rPr>
      </w:pPr>
    </w:p>
    <w:p w14:paraId="4E9A59C3" w14:textId="6D7A5FAF" w:rsidR="00C02948" w:rsidRPr="00C02948" w:rsidRDefault="00C02948" w:rsidP="00C02948">
      <w:pPr>
        <w:pStyle w:val="v1msonormal"/>
        <w:shd w:val="clear" w:color="auto" w:fill="FFFFFF"/>
        <w:spacing w:before="0" w:beforeAutospacing="0"/>
        <w:jc w:val="both"/>
        <w:rPr>
          <w:color w:val="2C363A"/>
        </w:rPr>
      </w:pPr>
      <w:r w:rsidRPr="00C02948">
        <w:rPr>
          <w:color w:val="2C363A"/>
        </w:rPr>
        <w:t>Una vez concedido el proyecto y realizados los tramites internos para su dotación como centro de gasto en la Universidad de Granada, es necesario preparar la documentación para iniciar el o los expedientes de contratación necesarios para la adquisición de los equipos. Tenemos establecido un mínimo de 8 meses para la tramitación y adjudicación de los mismos por parte del Servicio de Contratación y Organización Patrimonial.</w:t>
      </w:r>
    </w:p>
    <w:p w14:paraId="4B9B5D64" w14:textId="1225463E" w:rsidR="00C02948" w:rsidRPr="00C02948" w:rsidRDefault="00C02948" w:rsidP="00C02948">
      <w:pPr>
        <w:pStyle w:val="v1msonormal"/>
        <w:shd w:val="clear" w:color="auto" w:fill="FFFFFF"/>
        <w:spacing w:before="0" w:beforeAutospacing="0"/>
        <w:jc w:val="both"/>
        <w:rPr>
          <w:color w:val="2C363A"/>
        </w:rPr>
      </w:pPr>
      <w:r w:rsidRPr="00C02948">
        <w:rPr>
          <w:color w:val="FF0000"/>
        </w:rPr>
        <w:t xml:space="preserve">Si el equipo </w:t>
      </w:r>
      <w:r w:rsidRPr="00C02948">
        <w:rPr>
          <w:color w:val="FF0000"/>
        </w:rPr>
        <w:t>está</w:t>
      </w:r>
      <w:r w:rsidRPr="00C02948">
        <w:rPr>
          <w:color w:val="FF0000"/>
        </w:rPr>
        <w:t xml:space="preserve"> en el mercado,</w:t>
      </w:r>
      <w:r>
        <w:rPr>
          <w:color w:val="FF0000"/>
        </w:rPr>
        <w:t xml:space="preserve"> </w:t>
      </w:r>
      <w:r w:rsidRPr="00C02948">
        <w:rPr>
          <w:color w:val="FF0000"/>
        </w:rPr>
        <w:t>indicar de 1 a 5 meses para la entrega</w:t>
      </w:r>
    </w:p>
    <w:p w14:paraId="225A90DC" w14:textId="1FC5A0DA" w:rsidR="00C02948" w:rsidRPr="00C02948" w:rsidRDefault="00C02948" w:rsidP="00C02948">
      <w:pPr>
        <w:pStyle w:val="v1msonormal"/>
        <w:shd w:val="clear" w:color="auto" w:fill="FFFFFF"/>
        <w:spacing w:before="0" w:beforeAutospacing="0"/>
        <w:jc w:val="both"/>
        <w:rPr>
          <w:color w:val="2C363A"/>
        </w:rPr>
      </w:pPr>
      <w:r w:rsidRPr="00C02948">
        <w:rPr>
          <w:color w:val="FF0000"/>
        </w:rPr>
        <w:t>Si el equipo hay que fabricarlo o adecuarlo</w:t>
      </w:r>
      <w:r>
        <w:rPr>
          <w:color w:val="FF0000"/>
        </w:rPr>
        <w:t xml:space="preserve">, </w:t>
      </w:r>
      <w:r w:rsidRPr="00C02948">
        <w:rPr>
          <w:color w:val="FF0000"/>
        </w:rPr>
        <w:t>habrá que indicar el periodo estimado de fabricación, entrega </w:t>
      </w:r>
      <w:bookmarkStart w:id="0" w:name="_GoBack"/>
      <w:bookmarkEnd w:id="0"/>
      <w:r w:rsidRPr="00C02948">
        <w:rPr>
          <w:color w:val="FF0000"/>
        </w:rPr>
        <w:t>e instalación.</w:t>
      </w:r>
    </w:p>
    <w:p w14:paraId="0773FEFF" w14:textId="42CC7043" w:rsidR="00C02948" w:rsidRPr="00C02948" w:rsidRDefault="00C02948" w:rsidP="00C02948">
      <w:pPr>
        <w:pStyle w:val="v1msonormal"/>
        <w:shd w:val="clear" w:color="auto" w:fill="FFFFFF"/>
        <w:spacing w:before="0" w:beforeAutospacing="0"/>
        <w:jc w:val="both"/>
        <w:rPr>
          <w:color w:val="2C363A"/>
        </w:rPr>
      </w:pPr>
      <w:r w:rsidRPr="00C02948">
        <w:rPr>
          <w:color w:val="2C363A"/>
        </w:rPr>
        <w:t xml:space="preserve">Una vez instalado, serán necesarios entre 1 y </w:t>
      </w:r>
      <w:r>
        <w:rPr>
          <w:color w:val="2C363A"/>
        </w:rPr>
        <w:t>2</w:t>
      </w:r>
      <w:r w:rsidRPr="00C02948">
        <w:rPr>
          <w:color w:val="2C363A"/>
        </w:rPr>
        <w:t xml:space="preserve"> meses para la formación del personal técnico e investigador y la total operatividad del equipo para la comunidad universitaria y el resto de centros u organismos de investigación.</w:t>
      </w:r>
    </w:p>
    <w:p w14:paraId="4E290AB5" w14:textId="77777777" w:rsidR="00C02948" w:rsidRDefault="00C02948" w:rsidP="004E41BB">
      <w:pPr>
        <w:shd w:val="clear" w:color="auto" w:fill="FFFFFF"/>
        <w:tabs>
          <w:tab w:val="left" w:pos="851"/>
        </w:tabs>
        <w:spacing w:before="240" w:after="240"/>
        <w:jc w:val="both"/>
        <w:rPr>
          <w:rFonts w:ascii="Arial" w:hAnsi="Arial" w:cs="Arial"/>
          <w:bCs/>
          <w:i/>
          <w:sz w:val="16"/>
          <w:szCs w:val="16"/>
        </w:rPr>
      </w:pPr>
    </w:p>
    <w:p w14:paraId="02CE982F" w14:textId="0F97E7AC" w:rsidR="007E40D7" w:rsidRDefault="007E40D7" w:rsidP="004E41BB">
      <w:pPr>
        <w:shd w:val="clear" w:color="auto" w:fill="FFFFFF"/>
        <w:tabs>
          <w:tab w:val="left" w:pos="851"/>
        </w:tabs>
        <w:spacing w:before="240" w:after="240"/>
        <w:jc w:val="both"/>
        <w:rPr>
          <w:rFonts w:ascii="Arial" w:hAnsi="Arial" w:cs="Arial"/>
          <w:b/>
          <w:bCs/>
          <w:sz w:val="16"/>
          <w:szCs w:val="16"/>
        </w:rPr>
      </w:pPr>
      <w:r w:rsidRPr="007E40D7">
        <w:rPr>
          <w:rFonts w:ascii="Arial" w:hAnsi="Arial" w:cs="Arial"/>
          <w:b/>
          <w:bCs/>
          <w:sz w:val="16"/>
          <w:szCs w:val="16"/>
        </w:rPr>
        <w:t>INCLUIR UN CRONOGRAMA</w:t>
      </w:r>
      <w:r w:rsidR="007E0EB6">
        <w:rPr>
          <w:rFonts w:ascii="Arial" w:hAnsi="Arial" w:cs="Arial"/>
          <w:b/>
          <w:bCs/>
          <w:sz w:val="16"/>
          <w:szCs w:val="16"/>
        </w:rPr>
        <w:t xml:space="preserve"> (EJEMPLO)</w:t>
      </w:r>
    </w:p>
    <w:tbl>
      <w:tblPr>
        <w:tblStyle w:val="Tablaconcuadrcula"/>
        <w:tblW w:w="0" w:type="auto"/>
        <w:tblLook w:val="04A0" w:firstRow="1" w:lastRow="0" w:firstColumn="1" w:lastColumn="0" w:noHBand="0" w:noVBand="1"/>
      </w:tblPr>
      <w:tblGrid>
        <w:gridCol w:w="2123"/>
        <w:gridCol w:w="2123"/>
        <w:gridCol w:w="2124"/>
        <w:gridCol w:w="2124"/>
      </w:tblGrid>
      <w:tr w:rsidR="00795624" w14:paraId="1897F33A" w14:textId="77777777" w:rsidTr="00795624">
        <w:tc>
          <w:tcPr>
            <w:tcW w:w="8494" w:type="dxa"/>
            <w:gridSpan w:val="4"/>
            <w:shd w:val="clear" w:color="auto" w:fill="548DD4" w:themeFill="text2" w:themeFillTint="99"/>
          </w:tcPr>
          <w:p w14:paraId="5F429696" w14:textId="3CF8C421" w:rsidR="00795624" w:rsidRPr="00795624" w:rsidRDefault="00795624" w:rsidP="00795624">
            <w:pPr>
              <w:tabs>
                <w:tab w:val="left" w:pos="851"/>
              </w:tabs>
              <w:spacing w:before="240" w:after="240"/>
              <w:jc w:val="center"/>
              <w:rPr>
                <w:rFonts w:ascii="Arial" w:hAnsi="Arial" w:cs="Arial"/>
                <w:b/>
                <w:bCs/>
                <w:sz w:val="16"/>
                <w:szCs w:val="16"/>
              </w:rPr>
            </w:pPr>
            <w:r w:rsidRPr="00795624">
              <w:rPr>
                <w:rFonts w:ascii="Arial" w:hAnsi="Arial" w:cs="Arial"/>
                <w:b/>
                <w:bCs/>
                <w:color w:val="FFFFFF" w:themeColor="background1"/>
                <w:sz w:val="16"/>
                <w:szCs w:val="16"/>
              </w:rPr>
              <w:t>CRONOGRAMA DE LAS TAREAS A EJECUTAR DURANTE EL PLAZO DE EJECUCIÓN</w:t>
            </w:r>
          </w:p>
        </w:tc>
      </w:tr>
      <w:tr w:rsidR="00795624" w14:paraId="5285B591" w14:textId="77777777" w:rsidTr="00795624">
        <w:tc>
          <w:tcPr>
            <w:tcW w:w="2123" w:type="dxa"/>
            <w:shd w:val="clear" w:color="auto" w:fill="DBE5F1" w:themeFill="accent1" w:themeFillTint="33"/>
          </w:tcPr>
          <w:p w14:paraId="185ABFC8" w14:textId="431DA6EB" w:rsidR="00795624" w:rsidRPr="00795624" w:rsidRDefault="00795624" w:rsidP="00795624">
            <w:pPr>
              <w:tabs>
                <w:tab w:val="left" w:pos="851"/>
              </w:tabs>
              <w:spacing w:before="240" w:after="240"/>
              <w:jc w:val="center"/>
              <w:rPr>
                <w:rFonts w:ascii="Arial" w:hAnsi="Arial" w:cs="Arial"/>
                <w:b/>
                <w:bCs/>
                <w:sz w:val="16"/>
                <w:szCs w:val="16"/>
              </w:rPr>
            </w:pPr>
            <w:r w:rsidRPr="00795624">
              <w:rPr>
                <w:rFonts w:ascii="Arial" w:hAnsi="Arial" w:cs="Arial"/>
                <w:b/>
                <w:bCs/>
                <w:sz w:val="16"/>
                <w:szCs w:val="16"/>
              </w:rPr>
              <w:t>ACTIVIDADES/AÑO</w:t>
            </w:r>
          </w:p>
        </w:tc>
        <w:tc>
          <w:tcPr>
            <w:tcW w:w="2123" w:type="dxa"/>
            <w:shd w:val="clear" w:color="auto" w:fill="DBE5F1" w:themeFill="accent1" w:themeFillTint="33"/>
          </w:tcPr>
          <w:p w14:paraId="6C7C089C" w14:textId="4EC96A83" w:rsidR="00795624" w:rsidRPr="00795624" w:rsidRDefault="00795624" w:rsidP="00795624">
            <w:pPr>
              <w:tabs>
                <w:tab w:val="left" w:pos="851"/>
              </w:tabs>
              <w:spacing w:before="240" w:after="240"/>
              <w:jc w:val="center"/>
              <w:rPr>
                <w:rFonts w:ascii="Arial" w:hAnsi="Arial" w:cs="Arial"/>
                <w:b/>
                <w:bCs/>
                <w:sz w:val="16"/>
                <w:szCs w:val="16"/>
              </w:rPr>
            </w:pPr>
            <w:r w:rsidRPr="00795624">
              <w:rPr>
                <w:rFonts w:ascii="Arial" w:hAnsi="Arial" w:cs="Arial"/>
                <w:b/>
                <w:bCs/>
                <w:sz w:val="16"/>
                <w:szCs w:val="16"/>
              </w:rPr>
              <w:t>2024</w:t>
            </w:r>
          </w:p>
        </w:tc>
        <w:tc>
          <w:tcPr>
            <w:tcW w:w="2124" w:type="dxa"/>
            <w:shd w:val="clear" w:color="auto" w:fill="DBE5F1" w:themeFill="accent1" w:themeFillTint="33"/>
          </w:tcPr>
          <w:p w14:paraId="6D634846" w14:textId="62E4C8F6" w:rsidR="00795624" w:rsidRPr="00795624" w:rsidRDefault="00795624" w:rsidP="00795624">
            <w:pPr>
              <w:tabs>
                <w:tab w:val="left" w:pos="851"/>
              </w:tabs>
              <w:spacing w:before="240" w:after="240"/>
              <w:jc w:val="center"/>
              <w:rPr>
                <w:rFonts w:ascii="Arial" w:hAnsi="Arial" w:cs="Arial"/>
                <w:b/>
                <w:bCs/>
                <w:sz w:val="16"/>
                <w:szCs w:val="16"/>
              </w:rPr>
            </w:pPr>
            <w:r w:rsidRPr="00795624">
              <w:rPr>
                <w:rFonts w:ascii="Arial" w:hAnsi="Arial" w:cs="Arial"/>
                <w:b/>
                <w:bCs/>
                <w:sz w:val="16"/>
                <w:szCs w:val="16"/>
              </w:rPr>
              <w:t>2025</w:t>
            </w:r>
          </w:p>
        </w:tc>
        <w:tc>
          <w:tcPr>
            <w:tcW w:w="2124" w:type="dxa"/>
            <w:shd w:val="clear" w:color="auto" w:fill="DBE5F1" w:themeFill="accent1" w:themeFillTint="33"/>
          </w:tcPr>
          <w:p w14:paraId="14D88C29" w14:textId="768066D2" w:rsidR="00795624" w:rsidRPr="00795624" w:rsidRDefault="00795624" w:rsidP="00795624">
            <w:pPr>
              <w:tabs>
                <w:tab w:val="left" w:pos="851"/>
              </w:tabs>
              <w:spacing w:before="240" w:after="240"/>
              <w:jc w:val="center"/>
              <w:rPr>
                <w:rFonts w:ascii="Arial" w:hAnsi="Arial" w:cs="Arial"/>
                <w:b/>
                <w:bCs/>
                <w:sz w:val="16"/>
                <w:szCs w:val="16"/>
              </w:rPr>
            </w:pPr>
            <w:r w:rsidRPr="00795624">
              <w:rPr>
                <w:rFonts w:ascii="Arial" w:hAnsi="Arial" w:cs="Arial"/>
                <w:b/>
                <w:bCs/>
                <w:sz w:val="16"/>
                <w:szCs w:val="16"/>
              </w:rPr>
              <w:t>2026</w:t>
            </w:r>
          </w:p>
        </w:tc>
      </w:tr>
      <w:tr w:rsidR="00795624" w14:paraId="1FD64D5A" w14:textId="77777777" w:rsidTr="00795624">
        <w:tc>
          <w:tcPr>
            <w:tcW w:w="2123" w:type="dxa"/>
          </w:tcPr>
          <w:p w14:paraId="6E93701D" w14:textId="77777777" w:rsidR="00795624" w:rsidRDefault="00795624" w:rsidP="0063276B">
            <w:pPr>
              <w:tabs>
                <w:tab w:val="left" w:pos="851"/>
              </w:tabs>
              <w:spacing w:before="240" w:after="240"/>
              <w:jc w:val="both"/>
              <w:rPr>
                <w:rFonts w:ascii="Arial" w:hAnsi="Arial" w:cs="Arial"/>
                <w:bCs/>
                <w:sz w:val="16"/>
                <w:szCs w:val="16"/>
              </w:rPr>
            </w:pPr>
          </w:p>
        </w:tc>
        <w:tc>
          <w:tcPr>
            <w:tcW w:w="2123" w:type="dxa"/>
          </w:tcPr>
          <w:p w14:paraId="2940ECB7" w14:textId="77777777" w:rsidR="00795624" w:rsidRDefault="00795624" w:rsidP="0063276B">
            <w:pPr>
              <w:tabs>
                <w:tab w:val="left" w:pos="851"/>
              </w:tabs>
              <w:spacing w:before="240" w:after="240"/>
              <w:jc w:val="both"/>
              <w:rPr>
                <w:rFonts w:ascii="Arial" w:hAnsi="Arial" w:cs="Arial"/>
                <w:bCs/>
                <w:sz w:val="16"/>
                <w:szCs w:val="16"/>
              </w:rPr>
            </w:pPr>
          </w:p>
        </w:tc>
        <w:tc>
          <w:tcPr>
            <w:tcW w:w="2124" w:type="dxa"/>
          </w:tcPr>
          <w:p w14:paraId="3AC5FCC7" w14:textId="77777777" w:rsidR="00795624" w:rsidRDefault="00795624" w:rsidP="0063276B">
            <w:pPr>
              <w:tabs>
                <w:tab w:val="left" w:pos="851"/>
              </w:tabs>
              <w:spacing w:before="240" w:after="240"/>
              <w:jc w:val="both"/>
              <w:rPr>
                <w:rFonts w:ascii="Arial" w:hAnsi="Arial" w:cs="Arial"/>
                <w:bCs/>
                <w:sz w:val="16"/>
                <w:szCs w:val="16"/>
              </w:rPr>
            </w:pPr>
          </w:p>
        </w:tc>
        <w:tc>
          <w:tcPr>
            <w:tcW w:w="2124" w:type="dxa"/>
          </w:tcPr>
          <w:p w14:paraId="587F1F08" w14:textId="77777777" w:rsidR="00795624" w:rsidRDefault="00795624" w:rsidP="0063276B">
            <w:pPr>
              <w:tabs>
                <w:tab w:val="left" w:pos="851"/>
              </w:tabs>
              <w:spacing w:before="240" w:after="240"/>
              <w:jc w:val="both"/>
              <w:rPr>
                <w:rFonts w:ascii="Arial" w:hAnsi="Arial" w:cs="Arial"/>
                <w:bCs/>
                <w:sz w:val="16"/>
                <w:szCs w:val="16"/>
              </w:rPr>
            </w:pPr>
          </w:p>
        </w:tc>
      </w:tr>
      <w:tr w:rsidR="00795624" w14:paraId="4536E617" w14:textId="77777777" w:rsidTr="00795624">
        <w:tc>
          <w:tcPr>
            <w:tcW w:w="2123" w:type="dxa"/>
          </w:tcPr>
          <w:p w14:paraId="1BA23D5E" w14:textId="77777777" w:rsidR="00795624" w:rsidRDefault="00795624" w:rsidP="0063276B">
            <w:pPr>
              <w:tabs>
                <w:tab w:val="left" w:pos="851"/>
              </w:tabs>
              <w:spacing w:before="240" w:after="240"/>
              <w:jc w:val="both"/>
              <w:rPr>
                <w:rFonts w:ascii="Arial" w:hAnsi="Arial" w:cs="Arial"/>
                <w:bCs/>
                <w:sz w:val="16"/>
                <w:szCs w:val="16"/>
              </w:rPr>
            </w:pPr>
          </w:p>
        </w:tc>
        <w:tc>
          <w:tcPr>
            <w:tcW w:w="2123" w:type="dxa"/>
          </w:tcPr>
          <w:p w14:paraId="3A18F1A7" w14:textId="77777777" w:rsidR="00795624" w:rsidRDefault="00795624" w:rsidP="0063276B">
            <w:pPr>
              <w:tabs>
                <w:tab w:val="left" w:pos="851"/>
              </w:tabs>
              <w:spacing w:before="240" w:after="240"/>
              <w:jc w:val="both"/>
              <w:rPr>
                <w:rFonts w:ascii="Arial" w:hAnsi="Arial" w:cs="Arial"/>
                <w:bCs/>
                <w:sz w:val="16"/>
                <w:szCs w:val="16"/>
              </w:rPr>
            </w:pPr>
          </w:p>
        </w:tc>
        <w:tc>
          <w:tcPr>
            <w:tcW w:w="2124" w:type="dxa"/>
          </w:tcPr>
          <w:p w14:paraId="69FB577A" w14:textId="77777777" w:rsidR="00795624" w:rsidRDefault="00795624" w:rsidP="0063276B">
            <w:pPr>
              <w:tabs>
                <w:tab w:val="left" w:pos="851"/>
              </w:tabs>
              <w:spacing w:before="240" w:after="240"/>
              <w:jc w:val="both"/>
              <w:rPr>
                <w:rFonts w:ascii="Arial" w:hAnsi="Arial" w:cs="Arial"/>
                <w:bCs/>
                <w:sz w:val="16"/>
                <w:szCs w:val="16"/>
              </w:rPr>
            </w:pPr>
          </w:p>
        </w:tc>
        <w:tc>
          <w:tcPr>
            <w:tcW w:w="2124" w:type="dxa"/>
          </w:tcPr>
          <w:p w14:paraId="6A57CBEB" w14:textId="77777777" w:rsidR="00795624" w:rsidRDefault="00795624" w:rsidP="0063276B">
            <w:pPr>
              <w:tabs>
                <w:tab w:val="left" w:pos="851"/>
              </w:tabs>
              <w:spacing w:before="240" w:after="240"/>
              <w:jc w:val="both"/>
              <w:rPr>
                <w:rFonts w:ascii="Arial" w:hAnsi="Arial" w:cs="Arial"/>
                <w:bCs/>
                <w:sz w:val="16"/>
                <w:szCs w:val="16"/>
              </w:rPr>
            </w:pPr>
          </w:p>
        </w:tc>
      </w:tr>
      <w:tr w:rsidR="00795624" w14:paraId="155B2675" w14:textId="77777777" w:rsidTr="00795624">
        <w:tc>
          <w:tcPr>
            <w:tcW w:w="2123" w:type="dxa"/>
          </w:tcPr>
          <w:p w14:paraId="015AAFAF" w14:textId="77777777" w:rsidR="00795624" w:rsidRDefault="00795624" w:rsidP="0063276B">
            <w:pPr>
              <w:tabs>
                <w:tab w:val="left" w:pos="851"/>
              </w:tabs>
              <w:spacing w:before="240" w:after="240"/>
              <w:jc w:val="both"/>
              <w:rPr>
                <w:rFonts w:ascii="Arial" w:hAnsi="Arial" w:cs="Arial"/>
                <w:bCs/>
                <w:sz w:val="16"/>
                <w:szCs w:val="16"/>
              </w:rPr>
            </w:pPr>
          </w:p>
        </w:tc>
        <w:tc>
          <w:tcPr>
            <w:tcW w:w="2123" w:type="dxa"/>
          </w:tcPr>
          <w:p w14:paraId="0F126AC6" w14:textId="77777777" w:rsidR="00795624" w:rsidRDefault="00795624" w:rsidP="0063276B">
            <w:pPr>
              <w:tabs>
                <w:tab w:val="left" w:pos="851"/>
              </w:tabs>
              <w:spacing w:before="240" w:after="240"/>
              <w:jc w:val="both"/>
              <w:rPr>
                <w:rFonts w:ascii="Arial" w:hAnsi="Arial" w:cs="Arial"/>
                <w:bCs/>
                <w:sz w:val="16"/>
                <w:szCs w:val="16"/>
              </w:rPr>
            </w:pPr>
          </w:p>
        </w:tc>
        <w:tc>
          <w:tcPr>
            <w:tcW w:w="2124" w:type="dxa"/>
          </w:tcPr>
          <w:p w14:paraId="5096E920" w14:textId="77777777" w:rsidR="00795624" w:rsidRDefault="00795624" w:rsidP="0063276B">
            <w:pPr>
              <w:tabs>
                <w:tab w:val="left" w:pos="851"/>
              </w:tabs>
              <w:spacing w:before="240" w:after="240"/>
              <w:jc w:val="both"/>
              <w:rPr>
                <w:rFonts w:ascii="Arial" w:hAnsi="Arial" w:cs="Arial"/>
                <w:bCs/>
                <w:sz w:val="16"/>
                <w:szCs w:val="16"/>
              </w:rPr>
            </w:pPr>
          </w:p>
        </w:tc>
        <w:tc>
          <w:tcPr>
            <w:tcW w:w="2124" w:type="dxa"/>
          </w:tcPr>
          <w:p w14:paraId="487A42A2" w14:textId="77777777" w:rsidR="00795624" w:rsidRDefault="00795624" w:rsidP="0063276B">
            <w:pPr>
              <w:tabs>
                <w:tab w:val="left" w:pos="851"/>
              </w:tabs>
              <w:spacing w:before="240" w:after="240"/>
              <w:jc w:val="both"/>
              <w:rPr>
                <w:rFonts w:ascii="Arial" w:hAnsi="Arial" w:cs="Arial"/>
                <w:bCs/>
                <w:sz w:val="16"/>
                <w:szCs w:val="16"/>
              </w:rPr>
            </w:pPr>
          </w:p>
        </w:tc>
      </w:tr>
    </w:tbl>
    <w:p w14:paraId="16C769A3" w14:textId="620A055F" w:rsidR="0063276B" w:rsidRPr="0063276B" w:rsidRDefault="0063276B" w:rsidP="0063276B">
      <w:pPr>
        <w:shd w:val="clear" w:color="auto" w:fill="FFFFFF"/>
        <w:tabs>
          <w:tab w:val="left" w:pos="851"/>
        </w:tabs>
        <w:spacing w:before="240" w:after="240"/>
        <w:jc w:val="both"/>
        <w:rPr>
          <w:rFonts w:ascii="Arial" w:hAnsi="Arial" w:cs="Arial"/>
          <w:bCs/>
          <w:sz w:val="16"/>
          <w:szCs w:val="16"/>
        </w:rPr>
      </w:pPr>
    </w:p>
    <w:sectPr w:rsidR="0063276B" w:rsidRPr="006327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4501F"/>
    <w:multiLevelType w:val="hybridMultilevel"/>
    <w:tmpl w:val="069AB132"/>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BB"/>
    <w:rsid w:val="00337DE5"/>
    <w:rsid w:val="004E41BB"/>
    <w:rsid w:val="0063276B"/>
    <w:rsid w:val="00795624"/>
    <w:rsid w:val="007E0EB6"/>
    <w:rsid w:val="007E40D7"/>
    <w:rsid w:val="00932941"/>
    <w:rsid w:val="00C02948"/>
    <w:rsid w:val="00C165C0"/>
    <w:rsid w:val="00FA64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04CF"/>
  <w15:docId w15:val="{74B302CA-DE7E-4EB9-9285-6633B6AF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1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Párrafo de lista1,Párrafo de lista11,Normal N3,Arial 8,List Paragraph1,List Paragraph,F5 List Paragraph,Dot pt,No Spacing1,List Paragraph Char Char Char,Indicator Text,Numbered Para 1,Bullet Points,MAIN CONTENT,List Paragraph2"/>
    <w:basedOn w:val="Normal"/>
    <w:link w:val="PrrafodelistaCar"/>
    <w:uiPriority w:val="34"/>
    <w:qFormat/>
    <w:rsid w:val="004E41BB"/>
    <w:pPr>
      <w:ind w:left="720"/>
      <w:contextualSpacing/>
    </w:pPr>
    <w:rPr>
      <w:rFonts w:eastAsiaTheme="minorEastAsia"/>
      <w:lang w:eastAsia="es-ES"/>
    </w:rPr>
  </w:style>
  <w:style w:type="character" w:customStyle="1" w:styleId="PrrafodelistaCar">
    <w:name w:val="Párrafo de lista Car"/>
    <w:aliases w:val="Bullet Car,Párrafo de lista1 Car,Párrafo de lista11 Car,Normal N3 Car,Arial 8 Car,List Paragraph1 Car,List Paragraph Car,F5 List Paragraph Car,Dot pt Car,No Spacing1 Car,List Paragraph Char Char Char Car,Indicator Text Car"/>
    <w:link w:val="Prrafodelista"/>
    <w:uiPriority w:val="34"/>
    <w:qFormat/>
    <w:locked/>
    <w:rsid w:val="004E41BB"/>
    <w:rPr>
      <w:rFonts w:eastAsiaTheme="minorEastAsia"/>
      <w:lang w:eastAsia="es-ES"/>
    </w:rPr>
  </w:style>
  <w:style w:type="character" w:styleId="Refdecomentario">
    <w:name w:val="annotation reference"/>
    <w:basedOn w:val="Fuentedeprrafopredeter"/>
    <w:uiPriority w:val="99"/>
    <w:semiHidden/>
    <w:unhideWhenUsed/>
    <w:rsid w:val="004E41BB"/>
    <w:rPr>
      <w:sz w:val="16"/>
      <w:szCs w:val="16"/>
    </w:rPr>
  </w:style>
  <w:style w:type="paragraph" w:styleId="Textocomentario">
    <w:name w:val="annotation text"/>
    <w:basedOn w:val="Normal"/>
    <w:link w:val="TextocomentarioCar"/>
    <w:uiPriority w:val="99"/>
    <w:semiHidden/>
    <w:unhideWhenUsed/>
    <w:rsid w:val="004E41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41BB"/>
    <w:rPr>
      <w:sz w:val="20"/>
      <w:szCs w:val="20"/>
    </w:rPr>
  </w:style>
  <w:style w:type="paragraph" w:styleId="Textodeglobo">
    <w:name w:val="Balloon Text"/>
    <w:basedOn w:val="Normal"/>
    <w:link w:val="TextodegloboCar"/>
    <w:uiPriority w:val="99"/>
    <w:semiHidden/>
    <w:unhideWhenUsed/>
    <w:rsid w:val="004E41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1BB"/>
    <w:rPr>
      <w:rFonts w:ascii="Tahoma" w:hAnsi="Tahoma" w:cs="Tahoma"/>
      <w:sz w:val="16"/>
      <w:szCs w:val="16"/>
    </w:rPr>
  </w:style>
  <w:style w:type="paragraph" w:customStyle="1" w:styleId="v1msonormal">
    <w:name w:val="v1msonormal"/>
    <w:basedOn w:val="Normal"/>
    <w:rsid w:val="00C0294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79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6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Remedios Benitez Santaella</cp:lastModifiedBy>
  <cp:revision>5</cp:revision>
  <dcterms:created xsi:type="dcterms:W3CDTF">2024-04-09T07:35:00Z</dcterms:created>
  <dcterms:modified xsi:type="dcterms:W3CDTF">2024-04-10T10:45:00Z</dcterms:modified>
</cp:coreProperties>
</file>